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5AE507DB" w14:textId="77777777" w:rsidR="006856C6" w:rsidRDefault="006856C6" w:rsidP="006856C6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35CCAED1" w:rsidR="00BE7F97" w:rsidRDefault="006856C6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BE7F97">
              <w:rPr>
                <w:b/>
                <w:sz w:val="24"/>
              </w:rPr>
              <w:t xml:space="preserve">0mm </w:t>
            </w:r>
            <w:r>
              <w:rPr>
                <w:b/>
                <w:sz w:val="24"/>
              </w:rPr>
              <w:t>Filling Stone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6056A91B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A472EF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2CBB2E8A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A472EF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5142776F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6856C6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74723C9D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A472EF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4BAC7ECA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6856C6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045CD830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6856C6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6A25EB21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A472EF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5659BE"/>
    <w:rsid w:val="006856C6"/>
    <w:rsid w:val="008505FD"/>
    <w:rsid w:val="008C511A"/>
    <w:rsid w:val="00A472EF"/>
    <w:rsid w:val="00BE7F97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Aidan</cp:lastModifiedBy>
  <cp:revision>8</cp:revision>
  <dcterms:created xsi:type="dcterms:W3CDTF">2021-11-15T14:39:00Z</dcterms:created>
  <dcterms:modified xsi:type="dcterms:W3CDTF">2024-02-20T12:56:00Z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